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75" w:rsidRPr="00BB03E6" w:rsidRDefault="00220EC1" w:rsidP="007A55EF">
      <w:pPr>
        <w:spacing w:before="240" w:after="0"/>
        <w:ind w:right="-58"/>
        <w:jc w:val="both"/>
        <w:rPr>
          <w:rFonts w:cs="Arial"/>
          <w:b/>
          <w:bCs/>
          <w14:glow w14:rad="0">
            <w14:schemeClr w14:val="tx1"/>
          </w14:glow>
        </w:rPr>
      </w:pPr>
      <w:r w:rsidRPr="00BB03E6">
        <w:rPr>
          <w:rFonts w:cs="Arial"/>
          <w:b/>
          <w:bCs/>
          <w:noProof/>
          <w:color w:val="FFFFFF" w:themeColor="background1"/>
          <w:lang w:eastAsia="fr-FR"/>
        </w:rPr>
        <w:drawing>
          <wp:anchor distT="0" distB="0" distL="114300" distR="114300" simplePos="0" relativeHeight="251659264" behindDoc="1" locked="0" layoutInCell="1" allowOverlap="1">
            <wp:simplePos x="0" y="0"/>
            <wp:positionH relativeFrom="margin">
              <wp:posOffset>-38100</wp:posOffset>
            </wp:positionH>
            <wp:positionV relativeFrom="paragraph">
              <wp:posOffset>0</wp:posOffset>
            </wp:positionV>
            <wp:extent cx="6710680" cy="8477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renage.jpg"/>
                    <pic:cNvPicPr/>
                  </pic:nvPicPr>
                  <pic:blipFill>
                    <a:blip r:embed="rId5">
                      <a:extLst>
                        <a:ext uri="{BEBA8EAE-BF5A-486C-A8C5-ECC9F3942E4B}">
                          <a14:imgProps xmlns:a14="http://schemas.microsoft.com/office/drawing/2010/main">
                            <a14:imgLayer r:embed="rId6">
                              <a14:imgEffect>
                                <a14:artisticPhotocopy trans="67000"/>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6710680" cy="847725"/>
                    </a:xfrm>
                    <a:prstGeom prst="rect">
                      <a:avLst/>
                    </a:prstGeom>
                  </pic:spPr>
                </pic:pic>
              </a:graphicData>
            </a:graphic>
            <wp14:sizeRelH relativeFrom="margin">
              <wp14:pctWidth>0</wp14:pctWidth>
            </wp14:sizeRelH>
            <wp14:sizeRelV relativeFrom="margin">
              <wp14:pctHeight>0</wp14:pctHeight>
            </wp14:sizeRelV>
          </wp:anchor>
        </w:drawing>
      </w:r>
      <w:r w:rsidR="001F4D6C" w:rsidRPr="00BB03E6">
        <w:rPr>
          <w:rFonts w:cs="Arial"/>
          <w:b/>
          <w:bCs/>
          <w:noProof/>
          <w:lang w:eastAsia="fr-FR"/>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0</wp:posOffset>
                </wp:positionV>
                <wp:extent cx="7105650" cy="895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95350"/>
                        </a:xfrm>
                        <a:prstGeom prst="rect">
                          <a:avLst/>
                        </a:prstGeom>
                        <a:noFill/>
                        <a:ln w="9525">
                          <a:noFill/>
                          <a:miter lim="800000"/>
                          <a:headEnd/>
                          <a:tailEnd/>
                        </a:ln>
                      </wps:spPr>
                      <wps:txbx>
                        <w:txbxContent>
                          <w:p w:rsidR="00917A0A" w:rsidRPr="002079F5" w:rsidRDefault="00917A0A" w:rsidP="00F806C2">
                            <w:pPr>
                              <w:spacing w:after="0" w:line="192" w:lineRule="auto"/>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S</w:t>
                            </w:r>
                            <w:r w:rsidR="008019BC"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É</w:t>
                            </w:r>
                            <w:r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MINAIRE</w:t>
                            </w:r>
                            <w:r w:rsidR="00F806C2"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 </w:t>
                            </w:r>
                            <w:r w:rsidR="002079F5"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2021-2022</w:t>
                            </w:r>
                          </w:p>
                          <w:p w:rsidR="00917A0A" w:rsidRPr="002079F5" w:rsidRDefault="00917A0A" w:rsidP="001F4D6C">
                            <w:pPr>
                              <w:spacing w:after="0" w:line="192" w:lineRule="auto"/>
                              <w:jc w:val="center"/>
                              <w:rPr>
                                <w:rFonts w:ascii="Bell MT" w:hAnsi="Bell MT"/>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079F5">
                              <w:rPr>
                                <w:rFonts w:ascii="Bell MT" w:hAnsi="Bell MT"/>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t>Travail – Emploi – Politiques Sociales</w:t>
                            </w:r>
                          </w:p>
                          <w:p w:rsidR="00917A0A" w:rsidRPr="00917A0A" w:rsidRDefault="00917A0A">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8.3pt;margin-top:0;width:559.5pt;height:70.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" filled="f" stroked="f">
                <v:textbox>
                  <w:txbxContent>
                    <w:p w:rsidR="00917A0A" w:rsidRPr="002079F5" w:rsidRDefault="00917A0A" w:rsidP="00F806C2">
                      <w:pPr>
                        <w:spacing w:after="0" w:line="192" w:lineRule="auto"/>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S</w:t>
                      </w:r>
                      <w:r w:rsidR="008019BC"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É</w:t>
                      </w:r>
                      <w:r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MINAIRE</w:t>
                      </w:r>
                      <w:r w:rsidR="00F806C2"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 </w:t>
                      </w:r>
                      <w:r w:rsidR="002079F5" w:rsidRPr="002079F5">
                        <w:rPr>
                          <w:rFonts w:ascii="Bell MT" w:hAnsi="Bell MT"/>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2021-2022</w:t>
                      </w:r>
                    </w:p>
                    <w:p w:rsidR="00917A0A" w:rsidRPr="002079F5" w:rsidRDefault="00917A0A" w:rsidP="001F4D6C">
                      <w:pPr>
                        <w:spacing w:after="0" w:line="192" w:lineRule="auto"/>
                        <w:jc w:val="center"/>
                        <w:rPr>
                          <w:rFonts w:ascii="Bell MT" w:hAnsi="Bell MT"/>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079F5">
                        <w:rPr>
                          <w:rFonts w:ascii="Bell MT" w:hAnsi="Bell MT"/>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t>Travail – Emploi – Politiques Sociales</w:t>
                      </w:r>
                    </w:p>
                    <w:p w:rsidR="00917A0A" w:rsidRPr="00917A0A" w:rsidRDefault="00917A0A">
                      <w:pPr>
                        <w:rPr>
                          <w:sz w:val="36"/>
                          <w:szCs w:val="36"/>
                        </w:rPr>
                      </w:pPr>
                    </w:p>
                  </w:txbxContent>
                </v:textbox>
                <w10:wrap type="square" anchorx="page"/>
              </v:shape>
            </w:pict>
          </mc:Fallback>
        </mc:AlternateContent>
      </w:r>
      <w:r w:rsidR="00180066" w:rsidRPr="00BB03E6">
        <w:rPr>
          <w:rFonts w:cs="Arial"/>
          <w:b/>
          <w:bCs/>
        </w:rPr>
        <w:t>L</w:t>
      </w:r>
      <w:r w:rsidR="00566BB6" w:rsidRPr="00BB03E6">
        <w:rPr>
          <w:rFonts w:cs="Arial"/>
          <w:b/>
          <w:bCs/>
        </w:rPr>
        <w:t>e séminaire de l’axe TEPS (Travail, Emploi, Politiques Sociales</w:t>
      </w:r>
      <w:r w:rsidR="00D20857" w:rsidRPr="00BB03E6">
        <w:rPr>
          <w:rFonts w:cs="Arial"/>
          <w:b/>
          <w:bCs/>
        </w:rPr>
        <w:t>)</w:t>
      </w:r>
      <w:r w:rsidR="00566BB6" w:rsidRPr="00BB03E6">
        <w:rPr>
          <w:rFonts w:cs="Arial"/>
          <w:b/>
          <w:bCs/>
        </w:rPr>
        <w:t xml:space="preserve"> du 2L2S</w:t>
      </w:r>
      <w:r w:rsidR="00372475" w:rsidRPr="00BB03E6">
        <w:rPr>
          <w:rFonts w:cs="Arial"/>
          <w:b/>
          <w:bCs/>
        </w:rPr>
        <w:t xml:space="preserve"> a vocation à interroger les transformations du travail, de l’emploi, du salaire et </w:t>
      </w:r>
      <w:r w:rsidR="00A941DD" w:rsidRPr="00BB03E6">
        <w:rPr>
          <w:rFonts w:cs="Arial"/>
          <w:b/>
          <w:bCs/>
        </w:rPr>
        <w:t>des politiques</w:t>
      </w:r>
      <w:r w:rsidR="00372475" w:rsidRPr="00BB03E6">
        <w:rPr>
          <w:rFonts w:cs="Arial"/>
          <w:b/>
          <w:bCs/>
        </w:rPr>
        <w:t xml:space="preserve"> sociale</w:t>
      </w:r>
      <w:r w:rsidR="00A941DD" w:rsidRPr="00BB03E6">
        <w:rPr>
          <w:rFonts w:cs="Arial"/>
          <w:b/>
          <w:bCs/>
        </w:rPr>
        <w:t>s</w:t>
      </w:r>
      <w:r w:rsidR="00566BB6" w:rsidRPr="00BB03E6">
        <w:rPr>
          <w:rFonts w:cs="Arial"/>
          <w:b/>
          <w:bCs/>
        </w:rPr>
        <w:t xml:space="preserve"> au sens large</w:t>
      </w:r>
      <w:r w:rsidR="00372475" w:rsidRPr="00BB03E6">
        <w:rPr>
          <w:rFonts w:cs="Arial"/>
          <w:b/>
          <w:bCs/>
        </w:rPr>
        <w:t xml:space="preserve"> par l’étude des mutations des organisations et régimes de mobilisation du travail</w:t>
      </w:r>
      <w:r w:rsidR="00372475" w:rsidRPr="00BB03E6">
        <w:rPr>
          <w:rFonts w:cs="Arial"/>
          <w:b/>
        </w:rPr>
        <w:t xml:space="preserve"> et par </w:t>
      </w:r>
      <w:r w:rsidR="00372475" w:rsidRPr="00BB03E6">
        <w:rPr>
          <w:rFonts w:cs="Arial"/>
          <w:b/>
          <w:bCs/>
        </w:rPr>
        <w:t>l’analyse des politiques sociales et d’emploi.</w:t>
      </w:r>
    </w:p>
    <w:p w:rsidR="00F806C2" w:rsidRPr="00BB03E6" w:rsidRDefault="007A55EF" w:rsidP="007A55EF">
      <w:pPr>
        <w:spacing w:after="0"/>
        <w:ind w:right="-2"/>
        <w:jc w:val="both"/>
      </w:pPr>
      <w:r w:rsidRPr="00BB03E6">
        <w:t xml:space="preserve">Il s’agit de voir comment le travail est institué dans sa dimension de travail concret comme dans sa dimension de travail abstrait. Travail concret lorsqu’il s’agit de voir les modalités d’organisation et de mobilisation du travail (formes de gouvernement des organisations, outils et dispositifs de gestion, formes de régulation, éthiques de mise en œuvre, etc.). Travail </w:t>
      </w:r>
      <w:r w:rsidR="00BB03E6" w:rsidRPr="00BB03E6">
        <w:t>abstrait lorsqu’il</w:t>
      </w:r>
      <w:r w:rsidRPr="00BB03E6">
        <w:t xml:space="preserve"> s’agit de voir la manière dont les politiques sociales et d’emploi, et les acteurs publics et privés impliqués à des échelles territoriales diverses, transforment les formes de reconnaissance du travail en emploi ou hors de l’emploi, tant du point de vue de sa valorisation économique que des modalités ou justifications des formes de cette (dé)valorisation (qualification, employabilité, insertion, intégration, économie sociale et solidaire, etc.).</w:t>
      </w:r>
    </w:p>
    <w:p w:rsidR="002F1500" w:rsidRPr="00BB03E6" w:rsidRDefault="002F1500" w:rsidP="007A55EF">
      <w:pPr>
        <w:spacing w:after="0"/>
        <w:jc w:val="both"/>
        <w:rPr>
          <w:b/>
        </w:rPr>
      </w:pPr>
    </w:p>
    <w:tbl>
      <w:tblPr>
        <w:tblStyle w:val="Grilledutableau"/>
        <w:tblW w:w="10489" w:type="dxa"/>
        <w:tblInd w:w="-5" w:type="dxa"/>
        <w:tblCellMar>
          <w:top w:w="57" w:type="dxa"/>
          <w:left w:w="57" w:type="dxa"/>
          <w:bottom w:w="57" w:type="dxa"/>
          <w:right w:w="57" w:type="dxa"/>
        </w:tblCellMar>
        <w:tblLook w:val="04A0" w:firstRow="1" w:lastRow="0" w:firstColumn="1" w:lastColumn="0" w:noHBand="0" w:noVBand="1"/>
      </w:tblPr>
      <w:tblGrid>
        <w:gridCol w:w="3261"/>
        <w:gridCol w:w="2409"/>
        <w:gridCol w:w="4819"/>
      </w:tblGrid>
      <w:tr w:rsidR="00E60A02" w:rsidRPr="00EE123D" w:rsidTr="00EE123D">
        <w:trPr>
          <w:trHeight w:val="718"/>
        </w:trPr>
        <w:tc>
          <w:tcPr>
            <w:tcW w:w="3261" w:type="dxa"/>
            <w:vAlign w:val="center"/>
          </w:tcPr>
          <w:p w:rsidR="00040FA3" w:rsidRPr="00EE123D" w:rsidRDefault="00994E29" w:rsidP="009F266C">
            <w:pPr>
              <w:rPr>
                <w:color w:val="000000"/>
              </w:rPr>
            </w:pPr>
            <w:r w:rsidRPr="00EE123D">
              <w:rPr>
                <w:color w:val="000000"/>
              </w:rPr>
              <w:t>Hélène Marche</w:t>
            </w:r>
            <w:r w:rsidR="00040FA3" w:rsidRPr="00EE123D">
              <w:rPr>
                <w:color w:val="000000"/>
              </w:rPr>
              <w:t>, CERREV, Université Caen-Normandie</w:t>
            </w:r>
          </w:p>
          <w:p w:rsidR="00E60A02" w:rsidRPr="00EE123D" w:rsidRDefault="00994E29" w:rsidP="005C2175">
            <w:pPr>
              <w:spacing w:before="240"/>
              <w:rPr>
                <w:rFonts w:eastAsia="Times New Roman" w:cs="Times New Roman"/>
                <w:b/>
                <w:bCs/>
                <w:lang w:eastAsia="fr-FR"/>
              </w:rPr>
            </w:pPr>
            <w:proofErr w:type="spellStart"/>
            <w:r w:rsidRPr="00EE123D">
              <w:rPr>
                <w:color w:val="000000"/>
              </w:rPr>
              <w:t>Albena</w:t>
            </w:r>
            <w:proofErr w:type="spellEnd"/>
            <w:r w:rsidRPr="00EE123D">
              <w:rPr>
                <w:color w:val="000000"/>
              </w:rPr>
              <w:t xml:space="preserve"> </w:t>
            </w:r>
            <w:proofErr w:type="spellStart"/>
            <w:r w:rsidRPr="00EE123D">
              <w:rPr>
                <w:color w:val="000000"/>
              </w:rPr>
              <w:t>Tcholakova</w:t>
            </w:r>
            <w:proofErr w:type="spellEnd"/>
            <w:r w:rsidR="00040FA3" w:rsidRPr="00EE123D">
              <w:rPr>
                <w:color w:val="000000"/>
              </w:rPr>
              <w:t>, 2L2S, Université de Lorraine</w:t>
            </w:r>
          </w:p>
        </w:tc>
        <w:tc>
          <w:tcPr>
            <w:tcW w:w="2409" w:type="dxa"/>
            <w:vAlign w:val="center"/>
          </w:tcPr>
          <w:p w:rsidR="00E60A02" w:rsidRPr="00EE123D" w:rsidRDefault="00040FA3" w:rsidP="009F266C">
            <w:pPr>
              <w:spacing w:line="276" w:lineRule="auto"/>
              <w:jc w:val="both"/>
            </w:pPr>
            <w:r w:rsidRPr="00EE123D">
              <w:t>Mardi 14 décembre</w:t>
            </w:r>
            <w:r w:rsidR="00B2265C" w:rsidRPr="00EE123D">
              <w:t xml:space="preserve"> 2021</w:t>
            </w:r>
          </w:p>
          <w:p w:rsidR="00040FA3" w:rsidRPr="00EE123D" w:rsidRDefault="00040FA3" w:rsidP="009F266C">
            <w:pPr>
              <w:spacing w:line="276" w:lineRule="auto"/>
              <w:jc w:val="both"/>
            </w:pPr>
            <w:r w:rsidRPr="00EE123D">
              <w:t>Salle J09</w:t>
            </w:r>
          </w:p>
        </w:tc>
        <w:tc>
          <w:tcPr>
            <w:tcW w:w="4819" w:type="dxa"/>
            <w:vAlign w:val="center"/>
          </w:tcPr>
          <w:p w:rsidR="00040FA3" w:rsidRPr="00EE123D" w:rsidRDefault="00040FA3" w:rsidP="009F266C">
            <w:pPr>
              <w:rPr>
                <w:color w:val="000000"/>
              </w:rPr>
            </w:pPr>
            <w:r w:rsidRPr="00EE123D">
              <w:rPr>
                <w:color w:val="000000"/>
              </w:rPr>
              <w:t xml:space="preserve">Les émotions dans les champs de la sociologie du travail et de la santé. </w:t>
            </w:r>
          </w:p>
          <w:p w:rsidR="00E60A02" w:rsidRPr="00EE123D" w:rsidRDefault="00040FA3" w:rsidP="00040FA3">
            <w:pPr>
              <w:jc w:val="right"/>
              <w:rPr>
                <w:rFonts w:eastAsia="Times New Roman" w:cs="Times New Roman"/>
                <w:bCs/>
                <w:lang w:eastAsia="fr-FR"/>
              </w:rPr>
            </w:pPr>
            <w:r w:rsidRPr="00EE123D">
              <w:rPr>
                <w:i/>
                <w:color w:val="000000"/>
              </w:rPr>
              <w:t>Séance croisée TEPS/VIPAGES</w:t>
            </w:r>
            <w:r w:rsidRPr="00EE123D">
              <w:rPr>
                <w:color w:val="000000"/>
              </w:rPr>
              <w:t xml:space="preserve"> </w:t>
            </w:r>
          </w:p>
        </w:tc>
      </w:tr>
      <w:tr w:rsidR="00123431" w:rsidRPr="00EE123D" w:rsidTr="00EE123D">
        <w:tc>
          <w:tcPr>
            <w:tcW w:w="3261" w:type="dxa"/>
            <w:vAlign w:val="center"/>
          </w:tcPr>
          <w:p w:rsidR="00123431" w:rsidRPr="00EE123D" w:rsidRDefault="005849BF" w:rsidP="009F266C">
            <w:pPr>
              <w:rPr>
                <w:rFonts w:eastAsia="Times New Roman" w:cs="Times New Roman"/>
                <w:lang w:eastAsia="fr-FR"/>
              </w:rPr>
            </w:pPr>
            <w:r w:rsidRPr="00EE123D">
              <w:rPr>
                <w:rFonts w:eastAsia="Times New Roman" w:cs="Times New Roman"/>
                <w:lang w:eastAsia="fr-FR"/>
              </w:rPr>
              <w:t xml:space="preserve">Guillaume </w:t>
            </w:r>
            <w:proofErr w:type="spellStart"/>
            <w:r w:rsidRPr="00EE123D">
              <w:rPr>
                <w:rFonts w:eastAsia="Times New Roman" w:cs="Times New Roman"/>
                <w:lang w:eastAsia="fr-FR"/>
              </w:rPr>
              <w:t>T</w:t>
            </w:r>
            <w:r w:rsidR="00B2265C" w:rsidRPr="00EE123D">
              <w:rPr>
                <w:rFonts w:eastAsia="Times New Roman" w:cs="Times New Roman"/>
                <w:lang w:eastAsia="fr-FR"/>
              </w:rPr>
              <w:t>iffon</w:t>
            </w:r>
            <w:proofErr w:type="spellEnd"/>
          </w:p>
          <w:p w:rsidR="005849BF" w:rsidRPr="00EE123D" w:rsidRDefault="00FF479E" w:rsidP="009F266C">
            <w:pPr>
              <w:rPr>
                <w:rFonts w:eastAsia="Times New Roman" w:cs="Times New Roman"/>
                <w:lang w:eastAsia="fr-FR"/>
              </w:rPr>
            </w:pPr>
            <w:r w:rsidRPr="00EE123D">
              <w:rPr>
                <w:rFonts w:eastAsia="Times New Roman" w:cs="Times New Roman"/>
                <w:lang w:eastAsia="fr-FR"/>
              </w:rPr>
              <w:t xml:space="preserve">Centre Pierre Naville, </w:t>
            </w:r>
            <w:r w:rsidR="005849BF" w:rsidRPr="00EE123D">
              <w:rPr>
                <w:rFonts w:eastAsia="Times New Roman" w:cs="Times New Roman"/>
                <w:lang w:eastAsia="fr-FR"/>
              </w:rPr>
              <w:t>Université</w:t>
            </w:r>
            <w:r w:rsidRPr="00EE123D">
              <w:rPr>
                <w:rFonts w:eastAsia="Times New Roman" w:cs="Times New Roman"/>
                <w:lang w:eastAsia="fr-FR"/>
              </w:rPr>
              <w:t xml:space="preserve"> d’Evry</w:t>
            </w:r>
            <w:r w:rsidR="005849BF" w:rsidRPr="00EE123D">
              <w:rPr>
                <w:rFonts w:eastAsia="Times New Roman" w:cs="Times New Roman"/>
                <w:lang w:eastAsia="fr-FR"/>
              </w:rPr>
              <w:t xml:space="preserve"> </w:t>
            </w:r>
          </w:p>
        </w:tc>
        <w:tc>
          <w:tcPr>
            <w:tcW w:w="2409" w:type="dxa"/>
            <w:vAlign w:val="center"/>
          </w:tcPr>
          <w:p w:rsidR="00123431" w:rsidRDefault="00FF479E" w:rsidP="009F266C">
            <w:pPr>
              <w:spacing w:line="276" w:lineRule="auto"/>
              <w:jc w:val="both"/>
            </w:pPr>
            <w:r w:rsidRPr="00EE123D">
              <w:t xml:space="preserve">Lundi </w:t>
            </w:r>
            <w:r w:rsidR="001C1C85" w:rsidRPr="00EE123D">
              <w:t>17</w:t>
            </w:r>
            <w:r w:rsidRPr="00EE123D">
              <w:t xml:space="preserve"> janvier</w:t>
            </w:r>
            <w:r w:rsidR="00B2265C" w:rsidRPr="00EE123D">
              <w:t xml:space="preserve"> 2022 10h30-12h30</w:t>
            </w:r>
          </w:p>
          <w:p w:rsidR="00312CA1" w:rsidRPr="00EE123D" w:rsidRDefault="00312CA1" w:rsidP="009F266C">
            <w:pPr>
              <w:spacing w:line="276" w:lineRule="auto"/>
              <w:jc w:val="both"/>
            </w:pPr>
            <w:r>
              <w:t>Salle A104</w:t>
            </w:r>
          </w:p>
        </w:tc>
        <w:tc>
          <w:tcPr>
            <w:tcW w:w="4819" w:type="dxa"/>
            <w:vAlign w:val="center"/>
          </w:tcPr>
          <w:p w:rsidR="00123431" w:rsidRPr="00EE123D" w:rsidRDefault="00FF479E" w:rsidP="009F266C">
            <w:pPr>
              <w:rPr>
                <w:rFonts w:eastAsia="Times New Roman" w:cs="Times New Roman"/>
                <w:lang w:eastAsia="fr-FR"/>
              </w:rPr>
            </w:pPr>
            <w:r w:rsidRPr="00EE123D">
              <w:rPr>
                <w:rFonts w:eastAsia="Times New Roman" w:cs="Times New Roman"/>
                <w:lang w:eastAsia="fr-FR"/>
              </w:rPr>
              <w:t>Le travail disloqué. Organisations liquides et pénibilité mentale du travail</w:t>
            </w:r>
            <w:r w:rsidR="00040FA3" w:rsidRPr="00EE123D">
              <w:rPr>
                <w:rFonts w:eastAsia="Times New Roman" w:cs="Times New Roman"/>
                <w:lang w:eastAsia="fr-FR"/>
              </w:rPr>
              <w:t>.</w:t>
            </w:r>
          </w:p>
        </w:tc>
      </w:tr>
      <w:tr w:rsidR="00123431" w:rsidRPr="00EE123D" w:rsidTr="00EE123D">
        <w:tc>
          <w:tcPr>
            <w:tcW w:w="3261" w:type="dxa"/>
            <w:vAlign w:val="center"/>
          </w:tcPr>
          <w:p w:rsidR="00123431" w:rsidRPr="00EE123D" w:rsidRDefault="00B2265C" w:rsidP="00A941DD">
            <w:pPr>
              <w:rPr>
                <w:rFonts w:eastAsia="Times New Roman" w:cs="Times New Roman"/>
                <w:bCs/>
                <w:lang w:eastAsia="fr-FR"/>
              </w:rPr>
            </w:pPr>
            <w:r w:rsidRPr="00EE123D">
              <w:rPr>
                <w:rFonts w:eastAsia="Times New Roman" w:cs="Times New Roman"/>
                <w:bCs/>
                <w:lang w:eastAsia="fr-FR"/>
              </w:rPr>
              <w:t xml:space="preserve">Maud </w:t>
            </w:r>
            <w:proofErr w:type="gramStart"/>
            <w:r w:rsidRPr="00EE123D">
              <w:rPr>
                <w:rFonts w:eastAsia="Times New Roman" w:cs="Times New Roman"/>
                <w:bCs/>
                <w:lang w:eastAsia="fr-FR"/>
              </w:rPr>
              <w:t>Simonet ,</w:t>
            </w:r>
            <w:proofErr w:type="gramEnd"/>
            <w:r w:rsidRPr="00EE123D">
              <w:rPr>
                <w:rFonts w:eastAsia="Times New Roman" w:cs="Times New Roman"/>
                <w:bCs/>
                <w:lang w:eastAsia="fr-FR"/>
              </w:rPr>
              <w:t xml:space="preserve"> IDHES, Université Paris ouest Nanterre</w:t>
            </w:r>
          </w:p>
        </w:tc>
        <w:tc>
          <w:tcPr>
            <w:tcW w:w="2409" w:type="dxa"/>
            <w:vAlign w:val="center"/>
          </w:tcPr>
          <w:p w:rsidR="00123431" w:rsidRPr="00EE123D" w:rsidRDefault="00B2265C" w:rsidP="00123431">
            <w:pPr>
              <w:spacing w:line="276" w:lineRule="auto"/>
              <w:jc w:val="both"/>
            </w:pPr>
            <w:r w:rsidRPr="00EE123D">
              <w:t>Lundi 14 mars 2022</w:t>
            </w:r>
          </w:p>
          <w:p w:rsidR="00B2265C" w:rsidRDefault="00B2265C" w:rsidP="00123431">
            <w:pPr>
              <w:spacing w:line="276" w:lineRule="auto"/>
              <w:jc w:val="both"/>
            </w:pPr>
            <w:r w:rsidRPr="00EE123D">
              <w:t>10h30-12h30</w:t>
            </w:r>
          </w:p>
          <w:p w:rsidR="00312CA1" w:rsidRPr="00EE123D" w:rsidRDefault="00312CA1" w:rsidP="00123431">
            <w:pPr>
              <w:spacing w:line="276" w:lineRule="auto"/>
              <w:jc w:val="both"/>
            </w:pPr>
            <w:r>
              <w:t>Salle A104</w:t>
            </w:r>
          </w:p>
        </w:tc>
        <w:tc>
          <w:tcPr>
            <w:tcW w:w="4819" w:type="dxa"/>
            <w:vAlign w:val="center"/>
          </w:tcPr>
          <w:p w:rsidR="00123431" w:rsidRPr="00EE123D" w:rsidRDefault="004C416A" w:rsidP="004C416A">
            <w:pPr>
              <w:jc w:val="both"/>
              <w:rPr>
                <w:rFonts w:eastAsia="Times New Roman" w:cs="Times New Roman"/>
                <w:bCs/>
                <w:i/>
                <w:lang w:eastAsia="fr-FR"/>
              </w:rPr>
            </w:pPr>
            <w:r w:rsidRPr="00EE123D">
              <w:rPr>
                <w:rStyle w:val="Accentuation"/>
                <w:bCs/>
                <w:i w:val="0"/>
              </w:rPr>
              <w:t xml:space="preserve">Une approche féministe du salaire comme puissance subversive : du </w:t>
            </w:r>
            <w:proofErr w:type="spellStart"/>
            <w:r w:rsidRPr="00EE123D">
              <w:rPr>
                <w:rStyle w:val="Accentuation"/>
                <w:bCs/>
              </w:rPr>
              <w:t>Wages</w:t>
            </w:r>
            <w:proofErr w:type="spellEnd"/>
            <w:r w:rsidRPr="00EE123D">
              <w:rPr>
                <w:rStyle w:val="Accentuation"/>
                <w:bCs/>
              </w:rPr>
              <w:t xml:space="preserve"> for </w:t>
            </w:r>
            <w:proofErr w:type="spellStart"/>
            <w:r w:rsidRPr="00EE123D">
              <w:rPr>
                <w:rStyle w:val="Accentuation"/>
                <w:bCs/>
              </w:rPr>
              <w:t>Housework</w:t>
            </w:r>
            <w:proofErr w:type="spellEnd"/>
            <w:r w:rsidRPr="00EE123D">
              <w:rPr>
                <w:rStyle w:val="Accentuation"/>
                <w:bCs/>
                <w:i w:val="0"/>
              </w:rPr>
              <w:t xml:space="preserve"> au </w:t>
            </w:r>
            <w:proofErr w:type="spellStart"/>
            <w:r w:rsidRPr="00EE123D">
              <w:rPr>
                <w:rStyle w:val="Accentuation"/>
                <w:bCs/>
              </w:rPr>
              <w:t>Wages</w:t>
            </w:r>
            <w:proofErr w:type="spellEnd"/>
            <w:r w:rsidRPr="00EE123D">
              <w:rPr>
                <w:rStyle w:val="Accentuation"/>
                <w:bCs/>
              </w:rPr>
              <w:t xml:space="preserve"> for </w:t>
            </w:r>
            <w:proofErr w:type="spellStart"/>
            <w:r w:rsidRPr="00EE123D">
              <w:rPr>
                <w:rStyle w:val="Accentuation"/>
                <w:bCs/>
              </w:rPr>
              <w:t>Students</w:t>
            </w:r>
            <w:proofErr w:type="spellEnd"/>
          </w:p>
          <w:p w:rsidR="00B2265C" w:rsidRPr="00EE123D" w:rsidRDefault="00B2265C" w:rsidP="00B2265C">
            <w:pPr>
              <w:jc w:val="right"/>
              <w:rPr>
                <w:rFonts w:eastAsia="Times New Roman" w:cs="Times New Roman"/>
                <w:bCs/>
                <w:lang w:eastAsia="fr-FR"/>
              </w:rPr>
            </w:pPr>
            <w:r w:rsidRPr="00EE123D">
              <w:rPr>
                <w:i/>
                <w:color w:val="000000"/>
              </w:rPr>
              <w:t>Séance croisée TEPS/VIPAGES</w:t>
            </w:r>
          </w:p>
        </w:tc>
      </w:tr>
      <w:tr w:rsidR="00123431" w:rsidRPr="00EE123D" w:rsidTr="00EE123D">
        <w:tc>
          <w:tcPr>
            <w:tcW w:w="3261" w:type="dxa"/>
            <w:vAlign w:val="center"/>
          </w:tcPr>
          <w:p w:rsidR="00123431" w:rsidRPr="00EE123D" w:rsidRDefault="00F9102B" w:rsidP="00123431">
            <w:pPr>
              <w:rPr>
                <w:rFonts w:eastAsia="Times New Roman" w:cs="Times New Roman"/>
                <w:bCs/>
                <w:lang w:eastAsia="fr-FR"/>
              </w:rPr>
            </w:pPr>
            <w:r w:rsidRPr="00EE123D">
              <w:rPr>
                <w:rFonts w:eastAsia="Times New Roman" w:cs="Times New Roman"/>
                <w:bCs/>
                <w:lang w:eastAsia="fr-FR"/>
              </w:rPr>
              <w:t>Isabelle Clair</w:t>
            </w:r>
            <w:r w:rsidR="0067285B" w:rsidRPr="00EE123D">
              <w:rPr>
                <w:rFonts w:eastAsia="Times New Roman" w:cs="Times New Roman"/>
                <w:bCs/>
                <w:lang w:eastAsia="fr-FR"/>
              </w:rPr>
              <w:t>, IRIS</w:t>
            </w:r>
            <w:r w:rsidR="00EE123D" w:rsidRPr="00EE123D">
              <w:rPr>
                <w:rFonts w:eastAsia="Times New Roman" w:cs="Times New Roman"/>
                <w:bCs/>
                <w:lang w:eastAsia="fr-FR"/>
              </w:rPr>
              <w:t>, CNRS</w:t>
            </w:r>
          </w:p>
        </w:tc>
        <w:tc>
          <w:tcPr>
            <w:tcW w:w="2409" w:type="dxa"/>
            <w:vAlign w:val="center"/>
          </w:tcPr>
          <w:p w:rsidR="00123431" w:rsidRPr="00EE123D" w:rsidRDefault="000F719A" w:rsidP="00123431">
            <w:pPr>
              <w:spacing w:line="276" w:lineRule="auto"/>
              <w:jc w:val="both"/>
            </w:pPr>
            <w:r w:rsidRPr="00EE123D">
              <w:t xml:space="preserve">Lundi 4 avril </w:t>
            </w:r>
            <w:r w:rsidR="00F474A7" w:rsidRPr="00EE123D">
              <w:t>2022</w:t>
            </w:r>
          </w:p>
          <w:p w:rsidR="00F474A7" w:rsidRDefault="00F474A7" w:rsidP="00123431">
            <w:pPr>
              <w:spacing w:line="276" w:lineRule="auto"/>
              <w:jc w:val="both"/>
            </w:pPr>
            <w:r w:rsidRPr="00EE123D">
              <w:t>10h30-12h30</w:t>
            </w:r>
          </w:p>
          <w:p w:rsidR="00312CA1" w:rsidRPr="00EE123D" w:rsidRDefault="00312CA1" w:rsidP="00123431">
            <w:pPr>
              <w:spacing w:line="276" w:lineRule="auto"/>
              <w:jc w:val="both"/>
            </w:pPr>
            <w:r>
              <w:t>Salle A104</w:t>
            </w:r>
          </w:p>
        </w:tc>
        <w:tc>
          <w:tcPr>
            <w:tcW w:w="4819" w:type="dxa"/>
            <w:vAlign w:val="center"/>
          </w:tcPr>
          <w:p w:rsidR="00EE123D" w:rsidRPr="005320F0" w:rsidRDefault="005320F0" w:rsidP="00EE123D">
            <w:pPr>
              <w:rPr>
                <w:color w:val="000000"/>
              </w:rPr>
            </w:pPr>
            <w:r w:rsidRPr="005320F0">
              <w:rPr>
                <w:rFonts w:ascii="Calibri" w:hAnsi="Calibri" w:cs="Calibri"/>
                <w:color w:val="000000"/>
                <w:shd w:val="clear" w:color="auto" w:fill="FFFFFF"/>
              </w:rPr>
              <w:t>Être à la hauteur de son sexe : les garçons, l’argent, le travail, les machines et la loi. A propos d’une comparaison ethnographique entre trois jeunesses françaises</w:t>
            </w:r>
          </w:p>
          <w:p w:rsidR="00123431" w:rsidRPr="00EE123D" w:rsidRDefault="00684D22" w:rsidP="00EE123D">
            <w:pPr>
              <w:jc w:val="right"/>
              <w:rPr>
                <w:rFonts w:eastAsia="Times New Roman" w:cs="Times New Roman"/>
                <w:bCs/>
                <w:lang w:eastAsia="fr-FR"/>
              </w:rPr>
            </w:pPr>
            <w:bookmarkStart w:id="0" w:name="_GoBack"/>
            <w:bookmarkEnd w:id="0"/>
            <w:r w:rsidRPr="00EE123D">
              <w:rPr>
                <w:i/>
                <w:color w:val="000000"/>
              </w:rPr>
              <w:t>Séance croisée TEPS/VIPAGES</w:t>
            </w:r>
          </w:p>
        </w:tc>
      </w:tr>
      <w:tr w:rsidR="00701ACF" w:rsidRPr="00EE123D" w:rsidTr="002079F5">
        <w:tc>
          <w:tcPr>
            <w:tcW w:w="3261" w:type="dxa"/>
            <w:tcBorders>
              <w:bottom w:val="single" w:sz="4" w:space="0" w:color="auto"/>
            </w:tcBorders>
            <w:vAlign w:val="center"/>
          </w:tcPr>
          <w:p w:rsidR="00701ACF" w:rsidRPr="00EE123D" w:rsidRDefault="0016718B" w:rsidP="0028663F">
            <w:pPr>
              <w:rPr>
                <w:rFonts w:eastAsia="Times New Roman" w:cs="Times New Roman"/>
                <w:bCs/>
                <w:lang w:eastAsia="fr-FR"/>
              </w:rPr>
            </w:pPr>
            <w:r w:rsidRPr="00EE123D">
              <w:rPr>
                <w:rFonts w:eastAsia="Times New Roman" w:cs="Times New Roman"/>
                <w:bCs/>
                <w:lang w:eastAsia="fr-FR"/>
              </w:rPr>
              <w:t>Antonell</w:t>
            </w:r>
            <w:r w:rsidR="00F9102B" w:rsidRPr="00EE123D">
              <w:rPr>
                <w:rFonts w:eastAsia="Times New Roman" w:cs="Times New Roman"/>
                <w:bCs/>
                <w:lang w:eastAsia="fr-FR"/>
              </w:rPr>
              <w:t xml:space="preserve">a </w:t>
            </w:r>
            <w:proofErr w:type="spellStart"/>
            <w:r w:rsidR="00F9102B" w:rsidRPr="00EE123D">
              <w:rPr>
                <w:rFonts w:eastAsia="Times New Roman" w:cs="Times New Roman"/>
                <w:bCs/>
                <w:lang w:eastAsia="fr-FR"/>
              </w:rPr>
              <w:t>Corsani</w:t>
            </w:r>
            <w:proofErr w:type="spellEnd"/>
            <w:r w:rsidR="00F474A7" w:rsidRPr="00EE123D">
              <w:rPr>
                <w:rFonts w:eastAsia="Times New Roman" w:cs="Times New Roman"/>
                <w:bCs/>
                <w:lang w:eastAsia="fr-FR"/>
              </w:rPr>
              <w:t>, IDHES, Université Paris1</w:t>
            </w:r>
          </w:p>
        </w:tc>
        <w:tc>
          <w:tcPr>
            <w:tcW w:w="2409" w:type="dxa"/>
            <w:tcBorders>
              <w:bottom w:val="single" w:sz="4" w:space="0" w:color="auto"/>
            </w:tcBorders>
            <w:vAlign w:val="center"/>
          </w:tcPr>
          <w:p w:rsidR="00701ACF" w:rsidRPr="00EE123D" w:rsidRDefault="0016718B" w:rsidP="0028663F">
            <w:pPr>
              <w:spacing w:line="276" w:lineRule="auto"/>
              <w:jc w:val="both"/>
            </w:pPr>
            <w:r w:rsidRPr="00EE123D">
              <w:t>Lundi 9 mai</w:t>
            </w:r>
            <w:r w:rsidR="00F474A7" w:rsidRPr="00EE123D">
              <w:t xml:space="preserve"> 2022</w:t>
            </w:r>
          </w:p>
          <w:p w:rsidR="0016718B" w:rsidRDefault="0016718B" w:rsidP="0028663F">
            <w:pPr>
              <w:spacing w:line="276" w:lineRule="auto"/>
              <w:jc w:val="both"/>
            </w:pPr>
            <w:r w:rsidRPr="00EE123D">
              <w:t>10h30-12h30</w:t>
            </w:r>
          </w:p>
          <w:p w:rsidR="00312CA1" w:rsidRPr="00EE123D" w:rsidRDefault="00312CA1" w:rsidP="0028663F">
            <w:pPr>
              <w:spacing w:line="276" w:lineRule="auto"/>
              <w:jc w:val="both"/>
            </w:pPr>
            <w:r>
              <w:t>Salle A104</w:t>
            </w:r>
          </w:p>
        </w:tc>
        <w:tc>
          <w:tcPr>
            <w:tcW w:w="4819" w:type="dxa"/>
            <w:tcBorders>
              <w:bottom w:val="single" w:sz="4" w:space="0" w:color="auto"/>
            </w:tcBorders>
            <w:vAlign w:val="center"/>
          </w:tcPr>
          <w:p w:rsidR="00701ACF" w:rsidRPr="00EE123D" w:rsidRDefault="00F9102B" w:rsidP="0028663F">
            <w:pPr>
              <w:rPr>
                <w:rFonts w:eastAsia="Times New Roman" w:cs="Times New Roman"/>
                <w:bCs/>
                <w:lang w:eastAsia="fr-FR"/>
              </w:rPr>
            </w:pPr>
            <w:r w:rsidRPr="00EE123D">
              <w:rPr>
                <w:rFonts w:eastAsia="Times New Roman" w:cs="Times New Roman"/>
                <w:bCs/>
                <w:lang w:eastAsia="fr-FR"/>
              </w:rPr>
              <w:t>Le travail entre autonomie et hétéronomie</w:t>
            </w:r>
          </w:p>
        </w:tc>
      </w:tr>
      <w:tr w:rsidR="00701ACF" w:rsidRPr="00EE123D" w:rsidTr="002079F5">
        <w:tc>
          <w:tcPr>
            <w:tcW w:w="3261" w:type="dxa"/>
            <w:tcBorders>
              <w:bottom w:val="single" w:sz="4" w:space="0" w:color="auto"/>
            </w:tcBorders>
            <w:vAlign w:val="center"/>
          </w:tcPr>
          <w:p w:rsidR="00701ACF" w:rsidRPr="00EE123D" w:rsidRDefault="00F9102B" w:rsidP="0028663F">
            <w:pPr>
              <w:rPr>
                <w:rFonts w:eastAsia="Times New Roman" w:cs="Times New Roman"/>
                <w:bCs/>
                <w:lang w:eastAsia="fr-FR"/>
              </w:rPr>
            </w:pPr>
            <w:r w:rsidRPr="00EE123D">
              <w:rPr>
                <w:rFonts w:eastAsia="Times New Roman" w:cs="Times New Roman"/>
                <w:bCs/>
                <w:lang w:eastAsia="fr-FR"/>
              </w:rPr>
              <w:t>Lionel Jacquot, 2L2S, Université de Lorraine</w:t>
            </w:r>
          </w:p>
        </w:tc>
        <w:tc>
          <w:tcPr>
            <w:tcW w:w="2409" w:type="dxa"/>
            <w:tcBorders>
              <w:bottom w:val="single" w:sz="4" w:space="0" w:color="auto"/>
            </w:tcBorders>
            <w:vAlign w:val="center"/>
          </w:tcPr>
          <w:p w:rsidR="00701ACF" w:rsidRPr="00EE123D" w:rsidRDefault="00DF1FC2" w:rsidP="0028663F">
            <w:pPr>
              <w:spacing w:line="276" w:lineRule="auto"/>
              <w:jc w:val="both"/>
            </w:pPr>
            <w:r w:rsidRPr="00EE123D">
              <w:t xml:space="preserve">Lundi 13 </w:t>
            </w:r>
            <w:r w:rsidR="00F9102B" w:rsidRPr="00EE123D">
              <w:t>juin</w:t>
            </w:r>
            <w:r w:rsidR="00F474A7" w:rsidRPr="00EE123D">
              <w:t xml:space="preserve"> 2022</w:t>
            </w:r>
          </w:p>
          <w:p w:rsidR="00DF1FC2" w:rsidRDefault="00DF1FC2" w:rsidP="0028663F">
            <w:pPr>
              <w:spacing w:line="276" w:lineRule="auto"/>
              <w:jc w:val="both"/>
            </w:pPr>
            <w:r w:rsidRPr="00EE123D">
              <w:t>10h-12h</w:t>
            </w:r>
          </w:p>
          <w:p w:rsidR="00312CA1" w:rsidRPr="00EE123D" w:rsidRDefault="00312CA1" w:rsidP="0028663F">
            <w:pPr>
              <w:spacing w:line="276" w:lineRule="auto"/>
              <w:jc w:val="both"/>
            </w:pPr>
            <w:r>
              <w:t>Salle A104</w:t>
            </w:r>
          </w:p>
        </w:tc>
        <w:tc>
          <w:tcPr>
            <w:tcW w:w="4819" w:type="dxa"/>
            <w:tcBorders>
              <w:bottom w:val="single" w:sz="4" w:space="0" w:color="auto"/>
            </w:tcBorders>
            <w:vAlign w:val="center"/>
          </w:tcPr>
          <w:p w:rsidR="00701ACF" w:rsidRPr="00EE123D" w:rsidRDefault="00F9102B" w:rsidP="0028663F">
            <w:pPr>
              <w:rPr>
                <w:rFonts w:eastAsia="Times New Roman" w:cs="Times New Roman"/>
                <w:bCs/>
                <w:lang w:eastAsia="fr-FR"/>
              </w:rPr>
            </w:pPr>
            <w:proofErr w:type="spellStart"/>
            <w:r w:rsidRPr="00EE123D">
              <w:rPr>
                <w:rFonts w:eastAsia="Times New Roman" w:cs="Times New Roman"/>
                <w:bCs/>
                <w:lang w:eastAsia="fr-FR"/>
              </w:rPr>
              <w:t>Managérialiser</w:t>
            </w:r>
            <w:proofErr w:type="spellEnd"/>
            <w:r w:rsidRPr="00EE123D">
              <w:rPr>
                <w:rFonts w:eastAsia="Times New Roman" w:cs="Times New Roman"/>
                <w:bCs/>
                <w:lang w:eastAsia="fr-FR"/>
              </w:rPr>
              <w:t xml:space="preserve"> pour réformer : le cas de la justice</w:t>
            </w:r>
          </w:p>
        </w:tc>
      </w:tr>
      <w:tr w:rsidR="002079F5" w:rsidRPr="00EE123D" w:rsidTr="002079F5">
        <w:tc>
          <w:tcPr>
            <w:tcW w:w="3261" w:type="dxa"/>
            <w:tcBorders>
              <w:top w:val="single" w:sz="4" w:space="0" w:color="auto"/>
              <w:left w:val="nil"/>
              <w:bottom w:val="nil"/>
              <w:right w:val="nil"/>
            </w:tcBorders>
            <w:vAlign w:val="center"/>
          </w:tcPr>
          <w:p w:rsidR="002079F5" w:rsidRPr="00EE123D" w:rsidRDefault="002079F5" w:rsidP="0028663F">
            <w:pPr>
              <w:rPr>
                <w:rFonts w:eastAsia="Times New Roman" w:cs="Times New Roman"/>
                <w:bCs/>
                <w:lang w:eastAsia="fr-FR"/>
              </w:rPr>
            </w:pPr>
          </w:p>
        </w:tc>
        <w:tc>
          <w:tcPr>
            <w:tcW w:w="2409" w:type="dxa"/>
            <w:tcBorders>
              <w:top w:val="single" w:sz="4" w:space="0" w:color="auto"/>
              <w:left w:val="nil"/>
              <w:bottom w:val="nil"/>
              <w:right w:val="nil"/>
            </w:tcBorders>
            <w:vAlign w:val="center"/>
          </w:tcPr>
          <w:p w:rsidR="002079F5" w:rsidRPr="00EE123D" w:rsidRDefault="002079F5" w:rsidP="0028663F">
            <w:pPr>
              <w:spacing w:line="276" w:lineRule="auto"/>
              <w:jc w:val="both"/>
            </w:pPr>
          </w:p>
        </w:tc>
        <w:tc>
          <w:tcPr>
            <w:tcW w:w="4819" w:type="dxa"/>
            <w:tcBorders>
              <w:top w:val="single" w:sz="4" w:space="0" w:color="auto"/>
              <w:left w:val="nil"/>
              <w:bottom w:val="nil"/>
              <w:right w:val="nil"/>
            </w:tcBorders>
            <w:vAlign w:val="center"/>
          </w:tcPr>
          <w:p w:rsidR="002079F5" w:rsidRPr="00EE123D" w:rsidRDefault="002079F5" w:rsidP="0028663F">
            <w:pPr>
              <w:rPr>
                <w:rFonts w:eastAsia="Times New Roman" w:cs="Times New Roman"/>
                <w:bCs/>
                <w:lang w:eastAsia="fr-FR"/>
              </w:rPr>
            </w:pPr>
          </w:p>
        </w:tc>
      </w:tr>
    </w:tbl>
    <w:p w:rsidR="002079F5" w:rsidRDefault="002079F5" w:rsidP="00A81A63">
      <w:pPr>
        <w:jc w:val="both"/>
      </w:pPr>
    </w:p>
    <w:p w:rsidR="002079F5" w:rsidRDefault="002079F5" w:rsidP="00A81A63">
      <w:pPr>
        <w:jc w:val="both"/>
      </w:pPr>
    </w:p>
    <w:p w:rsidR="002079F5" w:rsidRDefault="002079F5" w:rsidP="00A81A63">
      <w:pPr>
        <w:jc w:val="both"/>
      </w:pPr>
    </w:p>
    <w:p w:rsidR="008019BC" w:rsidRPr="00EE123D" w:rsidRDefault="007A3A46" w:rsidP="00A81A63">
      <w:pPr>
        <w:jc w:val="both"/>
      </w:pPr>
      <w:r w:rsidRPr="00EE123D">
        <w:rPr>
          <w:rFonts w:ascii="Arial Rounded MT Bold" w:hAnsi="Arial Rounded MT Bold"/>
          <w:b/>
          <w:bCs/>
          <w:noProof/>
          <w:color w:val="FFFFFF" w:themeColor="background1"/>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165100</wp:posOffset>
            </wp:positionV>
            <wp:extent cx="771525" cy="734914"/>
            <wp:effectExtent l="152400" t="152400" r="142875" b="1606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771525" cy="734914"/>
                    </a:xfrm>
                    <a:prstGeom prst="rect">
                      <a:avLst/>
                    </a:prstGeom>
                    <a:noFill/>
                    <a:ln>
                      <a:noFill/>
                    </a:ln>
                    <a:effectLst>
                      <a:glow rad="139700">
                        <a:schemeClr val="bg1">
                          <a:alpha val="65000"/>
                        </a:schemeClr>
                      </a:glow>
                      <a:softEdge rad="0"/>
                    </a:effectLst>
                  </pic:spPr>
                </pic:pic>
              </a:graphicData>
            </a:graphic>
            <wp14:sizeRelH relativeFrom="margin">
              <wp14:pctWidth>0</wp14:pctWidth>
            </wp14:sizeRelH>
            <wp14:sizeRelV relativeFrom="margin">
              <wp14:pctHeight>0</wp14:pctHeight>
            </wp14:sizeRelV>
          </wp:anchor>
        </w:drawing>
      </w:r>
    </w:p>
    <w:p w:rsidR="00F85D6C" w:rsidRDefault="00F85D6C" w:rsidP="00A81A63">
      <w:pPr>
        <w:jc w:val="both"/>
      </w:pPr>
    </w:p>
    <w:p w:rsidR="002079F5" w:rsidRDefault="002079F5" w:rsidP="00A81A63">
      <w:pPr>
        <w:jc w:val="both"/>
      </w:pPr>
    </w:p>
    <w:sectPr w:rsidR="002079F5" w:rsidSect="00752E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75"/>
    <w:rsid w:val="00016301"/>
    <w:rsid w:val="00040FA3"/>
    <w:rsid w:val="00045BBE"/>
    <w:rsid w:val="000F719A"/>
    <w:rsid w:val="00111FCD"/>
    <w:rsid w:val="00113408"/>
    <w:rsid w:val="00123431"/>
    <w:rsid w:val="001251DA"/>
    <w:rsid w:val="0016718B"/>
    <w:rsid w:val="00180066"/>
    <w:rsid w:val="00182B57"/>
    <w:rsid w:val="00183E08"/>
    <w:rsid w:val="001C1C85"/>
    <w:rsid w:val="001D2F7B"/>
    <w:rsid w:val="001F4D6C"/>
    <w:rsid w:val="0020724D"/>
    <w:rsid w:val="002079F5"/>
    <w:rsid w:val="002144D1"/>
    <w:rsid w:val="00220EC1"/>
    <w:rsid w:val="0026384D"/>
    <w:rsid w:val="002B4F1E"/>
    <w:rsid w:val="002C0EA5"/>
    <w:rsid w:val="002C56D3"/>
    <w:rsid w:val="002C6BB9"/>
    <w:rsid w:val="002D31AA"/>
    <w:rsid w:val="002E2CA5"/>
    <w:rsid w:val="002F1500"/>
    <w:rsid w:val="002F409E"/>
    <w:rsid w:val="00302FAD"/>
    <w:rsid w:val="00312CA1"/>
    <w:rsid w:val="0033037A"/>
    <w:rsid w:val="003522A5"/>
    <w:rsid w:val="00372475"/>
    <w:rsid w:val="00373A93"/>
    <w:rsid w:val="004324C4"/>
    <w:rsid w:val="00457C61"/>
    <w:rsid w:val="00471235"/>
    <w:rsid w:val="004971C9"/>
    <w:rsid w:val="004972B3"/>
    <w:rsid w:val="004C416A"/>
    <w:rsid w:val="00512728"/>
    <w:rsid w:val="0052492F"/>
    <w:rsid w:val="005320F0"/>
    <w:rsid w:val="00557152"/>
    <w:rsid w:val="00566BB6"/>
    <w:rsid w:val="005840F9"/>
    <w:rsid w:val="005849BF"/>
    <w:rsid w:val="005A2053"/>
    <w:rsid w:val="005A2837"/>
    <w:rsid w:val="005B02B0"/>
    <w:rsid w:val="005C2175"/>
    <w:rsid w:val="00603745"/>
    <w:rsid w:val="00634AD1"/>
    <w:rsid w:val="006350ED"/>
    <w:rsid w:val="0067285B"/>
    <w:rsid w:val="00684D22"/>
    <w:rsid w:val="006A7D40"/>
    <w:rsid w:val="006B41CC"/>
    <w:rsid w:val="00701ACF"/>
    <w:rsid w:val="00731922"/>
    <w:rsid w:val="0075178C"/>
    <w:rsid w:val="00752E6A"/>
    <w:rsid w:val="0078156B"/>
    <w:rsid w:val="00783197"/>
    <w:rsid w:val="0079117F"/>
    <w:rsid w:val="00796C36"/>
    <w:rsid w:val="007A0AA1"/>
    <w:rsid w:val="007A3A46"/>
    <w:rsid w:val="007A55EF"/>
    <w:rsid w:val="007B0B2B"/>
    <w:rsid w:val="007E4780"/>
    <w:rsid w:val="008019BC"/>
    <w:rsid w:val="008B1840"/>
    <w:rsid w:val="00917A0A"/>
    <w:rsid w:val="00984506"/>
    <w:rsid w:val="00992C47"/>
    <w:rsid w:val="00994E29"/>
    <w:rsid w:val="009C6BAF"/>
    <w:rsid w:val="009D76C7"/>
    <w:rsid w:val="00A00994"/>
    <w:rsid w:val="00A13904"/>
    <w:rsid w:val="00A24786"/>
    <w:rsid w:val="00A30711"/>
    <w:rsid w:val="00A35D6A"/>
    <w:rsid w:val="00A614BF"/>
    <w:rsid w:val="00A81A63"/>
    <w:rsid w:val="00A8379A"/>
    <w:rsid w:val="00A90CE3"/>
    <w:rsid w:val="00A941DD"/>
    <w:rsid w:val="00AF7737"/>
    <w:rsid w:val="00B2265C"/>
    <w:rsid w:val="00B8037A"/>
    <w:rsid w:val="00B846BB"/>
    <w:rsid w:val="00B928E4"/>
    <w:rsid w:val="00BB03E6"/>
    <w:rsid w:val="00BE6516"/>
    <w:rsid w:val="00C02D2F"/>
    <w:rsid w:val="00CE1785"/>
    <w:rsid w:val="00D16684"/>
    <w:rsid w:val="00D20857"/>
    <w:rsid w:val="00D34F58"/>
    <w:rsid w:val="00D37630"/>
    <w:rsid w:val="00D609EB"/>
    <w:rsid w:val="00D923F8"/>
    <w:rsid w:val="00DA6353"/>
    <w:rsid w:val="00DB6101"/>
    <w:rsid w:val="00DF1FC2"/>
    <w:rsid w:val="00E60A02"/>
    <w:rsid w:val="00EC2339"/>
    <w:rsid w:val="00EE123D"/>
    <w:rsid w:val="00EF5E5F"/>
    <w:rsid w:val="00F402AD"/>
    <w:rsid w:val="00F474A7"/>
    <w:rsid w:val="00F504E3"/>
    <w:rsid w:val="00F60B6C"/>
    <w:rsid w:val="00F65887"/>
    <w:rsid w:val="00F806C2"/>
    <w:rsid w:val="00F85D6C"/>
    <w:rsid w:val="00F9102B"/>
    <w:rsid w:val="00FA027C"/>
    <w:rsid w:val="00FB1FC4"/>
    <w:rsid w:val="00FF1A08"/>
    <w:rsid w:val="00FF4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7240"/>
  <w15:chartTrackingRefBased/>
  <w15:docId w15:val="{FD2591BB-10FD-499B-9B5A-25971CE3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F409E"/>
    <w:rPr>
      <w:i/>
      <w:iCs/>
    </w:rPr>
  </w:style>
  <w:style w:type="paragraph" w:styleId="Paragraphedeliste">
    <w:name w:val="List Paragraph"/>
    <w:basedOn w:val="Normal"/>
    <w:uiPriority w:val="34"/>
    <w:qFormat/>
    <w:rsid w:val="00F806C2"/>
    <w:pPr>
      <w:ind w:left="720"/>
      <w:contextualSpacing/>
    </w:pPr>
  </w:style>
  <w:style w:type="paragraph" w:styleId="Textedebulles">
    <w:name w:val="Balloon Text"/>
    <w:basedOn w:val="Normal"/>
    <w:link w:val="TextedebullesCar"/>
    <w:uiPriority w:val="99"/>
    <w:semiHidden/>
    <w:unhideWhenUsed/>
    <w:rsid w:val="00302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2FAD"/>
    <w:rPr>
      <w:rFonts w:ascii="Segoe UI" w:hAnsi="Segoe UI" w:cs="Segoe UI"/>
      <w:sz w:val="18"/>
      <w:szCs w:val="18"/>
    </w:rPr>
  </w:style>
  <w:style w:type="character" w:customStyle="1" w:styleId="st">
    <w:name w:val="st"/>
    <w:basedOn w:val="Policepardfaut"/>
    <w:rsid w:val="00A9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CDED-B194-4CE4-A9A5-873701B3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HIGELE</dc:creator>
  <cp:keywords/>
  <dc:description/>
  <cp:lastModifiedBy>Chrystelle Laurain</cp:lastModifiedBy>
  <cp:revision>3</cp:revision>
  <cp:lastPrinted>2019-09-25T08:53:00Z</cp:lastPrinted>
  <dcterms:created xsi:type="dcterms:W3CDTF">2021-10-07T11:49:00Z</dcterms:created>
  <dcterms:modified xsi:type="dcterms:W3CDTF">2021-10-07T13:28:00Z</dcterms:modified>
</cp:coreProperties>
</file>